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3BFB" w14:textId="091DF229" w:rsidR="00B41310" w:rsidRPr="00E11F0F" w:rsidRDefault="00B41310" w:rsidP="00E11F0F">
      <w:pPr>
        <w:pStyle w:val="BodyText"/>
        <w:ind w:left="567" w:firstLine="142"/>
        <w:rPr>
          <w:rFonts w:ascii="Times New Roman"/>
          <w:sz w:val="24"/>
          <w:szCs w:val="24"/>
        </w:rPr>
      </w:pPr>
    </w:p>
    <w:p w14:paraId="7376CF3E" w14:textId="77777777" w:rsidR="00B41310" w:rsidRPr="00E11F0F" w:rsidRDefault="00B41310" w:rsidP="00E11F0F">
      <w:pPr>
        <w:ind w:left="567"/>
        <w:rPr>
          <w:rFonts w:ascii="Times New Roman"/>
          <w:sz w:val="24"/>
          <w:szCs w:val="24"/>
        </w:rPr>
        <w:sectPr w:rsidR="00B41310" w:rsidRPr="00E11F0F">
          <w:headerReference w:type="default" r:id="rId11"/>
          <w:footerReference w:type="default" r:id="rId12"/>
          <w:type w:val="continuous"/>
          <w:pgSz w:w="11910" w:h="16840"/>
          <w:pgMar w:top="320" w:right="420" w:bottom="0" w:left="20" w:header="720" w:footer="720" w:gutter="0"/>
          <w:cols w:space="720"/>
        </w:sectPr>
      </w:pPr>
    </w:p>
    <w:p w14:paraId="0EDDD6FA" w14:textId="19A9E606" w:rsidR="00B41310" w:rsidRPr="00856A28" w:rsidRDefault="001E7612" w:rsidP="00856A28">
      <w:pPr>
        <w:pStyle w:val="BodyText"/>
        <w:tabs>
          <w:tab w:val="left" w:pos="5535"/>
        </w:tabs>
        <w:ind w:left="567"/>
        <w:rPr>
          <w:sz w:val="24"/>
          <w:szCs w:val="24"/>
        </w:rPr>
      </w:pPr>
      <w:r w:rsidRPr="00E34DE5">
        <w:rPr>
          <w:rFonts w:eastAsiaTheme="majorEastAsia"/>
          <w:b/>
          <w:bCs/>
          <w:color w:val="4F81BD" w:themeColor="accent1"/>
          <w:sz w:val="36"/>
          <w:szCs w:val="22"/>
          <w:lang w:val="en-AU"/>
        </w:rPr>
        <w:t>Health, Safety and Wellbeing Policy</w:t>
      </w:r>
    </w:p>
    <w:p w14:paraId="6F8CEBD1" w14:textId="2CD385DA" w:rsidR="00B41310" w:rsidRPr="00E11F0F" w:rsidRDefault="001E7612" w:rsidP="00E11F0F">
      <w:pPr>
        <w:pStyle w:val="BodyText"/>
        <w:spacing w:before="83" w:line="264" w:lineRule="auto"/>
        <w:ind w:left="567" w:right="183" w:firstLine="3"/>
        <w:jc w:val="both"/>
        <w:rPr>
          <w:sz w:val="24"/>
          <w:szCs w:val="24"/>
        </w:rPr>
      </w:pPr>
      <w:bookmarkStart w:id="0" w:name="_Hlk91168630"/>
      <w:r w:rsidRPr="00E11F0F">
        <w:rPr>
          <w:b/>
          <w:color w:val="0C0C0C"/>
          <w:w w:val="105"/>
          <w:sz w:val="24"/>
          <w:szCs w:val="24"/>
        </w:rPr>
        <w:t xml:space="preserve">Scope: </w:t>
      </w:r>
      <w:r w:rsidR="00E11F0F" w:rsidRPr="00E11F0F">
        <w:rPr>
          <w:color w:val="0C0C0C"/>
          <w:w w:val="105"/>
          <w:sz w:val="24"/>
          <w:szCs w:val="24"/>
        </w:rPr>
        <w:t>This Policy applies to all employees, visitors, volunteers and contractors in Department of Education and Training (Department) workplaces and activities, and instances when performing work offsite. The Department commits, so far as reasonably practicable, to:</w:t>
      </w:r>
    </w:p>
    <w:bookmarkEnd w:id="0"/>
    <w:p w14:paraId="0C3F9735" w14:textId="402EFDCA" w:rsidR="00B41310" w:rsidRDefault="00B41310" w:rsidP="00E11F0F">
      <w:pPr>
        <w:pStyle w:val="BodyText"/>
        <w:spacing w:before="10"/>
        <w:ind w:left="567"/>
        <w:rPr>
          <w:sz w:val="24"/>
          <w:szCs w:val="24"/>
        </w:rPr>
      </w:pPr>
    </w:p>
    <w:tbl>
      <w:tblPr>
        <w:tblStyle w:val="TableGrid"/>
        <w:tblW w:w="0" w:type="auto"/>
        <w:tblInd w:w="567" w:type="dxa"/>
        <w:tblLook w:val="04A0" w:firstRow="1" w:lastRow="0" w:firstColumn="1" w:lastColumn="0" w:noHBand="0" w:noVBand="1"/>
      </w:tblPr>
      <w:tblGrid>
        <w:gridCol w:w="3539"/>
        <w:gridCol w:w="7488"/>
      </w:tblGrid>
      <w:tr w:rsidR="00E34DE5" w14:paraId="44DDD6AF" w14:textId="77777777" w:rsidTr="00E34DE5">
        <w:tc>
          <w:tcPr>
            <w:tcW w:w="3539" w:type="dxa"/>
          </w:tcPr>
          <w:p w14:paraId="3AA81148" w14:textId="73B6B8BE" w:rsidR="00E34DE5" w:rsidRDefault="00E34DE5" w:rsidP="00E34DE5">
            <w:pPr>
              <w:pStyle w:val="BodyText"/>
              <w:spacing w:before="10"/>
              <w:rPr>
                <w:sz w:val="24"/>
                <w:szCs w:val="24"/>
              </w:rPr>
            </w:pPr>
            <w:r w:rsidRPr="00E34DE5">
              <w:rPr>
                <w:b/>
                <w:bCs/>
                <w:sz w:val="24"/>
                <w:szCs w:val="24"/>
              </w:rPr>
              <w:t>Management Commitment</w:t>
            </w:r>
            <w:bookmarkStart w:id="1" w:name="_Hlk91168659"/>
            <w:bookmarkStart w:id="2" w:name="_Hlk89161178"/>
            <w:r w:rsidR="004142EF">
              <w:rPr>
                <w:b/>
                <w:bCs/>
                <w:sz w:val="24"/>
                <w:szCs w:val="24"/>
              </w:rPr>
              <w:t>.</w:t>
            </w:r>
          </w:p>
          <w:p w14:paraId="42E5C1B1" w14:textId="77777777" w:rsidR="00E34DE5" w:rsidRDefault="00E34DE5" w:rsidP="00E34DE5">
            <w:pPr>
              <w:pStyle w:val="BodyText"/>
              <w:spacing w:before="10"/>
              <w:rPr>
                <w:color w:val="0C0C0C"/>
                <w:spacing w:val="-10"/>
                <w:w w:val="105"/>
                <w:sz w:val="24"/>
                <w:szCs w:val="24"/>
              </w:rPr>
            </w:pPr>
          </w:p>
          <w:p w14:paraId="632E030B" w14:textId="5CABB904" w:rsidR="00E34DE5" w:rsidRPr="00E34DE5" w:rsidRDefault="00E34DE5" w:rsidP="00E34DE5">
            <w:pPr>
              <w:pStyle w:val="BodyText"/>
              <w:spacing w:before="10"/>
              <w:rPr>
                <w:sz w:val="24"/>
                <w:szCs w:val="24"/>
              </w:rPr>
            </w:pPr>
            <w:r w:rsidRPr="00E34DE5">
              <w:rPr>
                <w:color w:val="0C0C0C"/>
                <w:spacing w:val="-10"/>
                <w:w w:val="105"/>
                <w:sz w:val="24"/>
                <w:szCs w:val="24"/>
              </w:rPr>
              <w:t xml:space="preserve">Support </w:t>
            </w:r>
            <w:r w:rsidRPr="00E34DE5">
              <w:rPr>
                <w:color w:val="0C0C0C"/>
                <w:w w:val="105"/>
                <w:sz w:val="24"/>
                <w:szCs w:val="24"/>
              </w:rPr>
              <w:t>and value its</w:t>
            </w:r>
            <w:r w:rsidRPr="00E34DE5">
              <w:rPr>
                <w:color w:val="0C0C0C"/>
                <w:spacing w:val="-16"/>
                <w:w w:val="105"/>
                <w:sz w:val="24"/>
                <w:szCs w:val="24"/>
              </w:rPr>
              <w:t xml:space="preserve"> </w:t>
            </w:r>
            <w:r w:rsidRPr="00E34DE5">
              <w:rPr>
                <w:color w:val="0C0C0C"/>
                <w:w w:val="105"/>
                <w:sz w:val="24"/>
                <w:szCs w:val="24"/>
              </w:rPr>
              <w:t>people</w:t>
            </w:r>
            <w:r w:rsidRPr="00E34DE5">
              <w:rPr>
                <w:color w:val="0C0C0C"/>
                <w:spacing w:val="-12"/>
                <w:w w:val="105"/>
                <w:sz w:val="24"/>
                <w:szCs w:val="24"/>
              </w:rPr>
              <w:t xml:space="preserve"> </w:t>
            </w:r>
            <w:r w:rsidRPr="00E34DE5">
              <w:rPr>
                <w:color w:val="0C0C0C"/>
                <w:w w:val="105"/>
                <w:sz w:val="24"/>
                <w:szCs w:val="24"/>
              </w:rPr>
              <w:t>and recognise a</w:t>
            </w:r>
            <w:r w:rsidRPr="00E34DE5">
              <w:rPr>
                <w:color w:val="0C0C0C"/>
                <w:spacing w:val="-16"/>
                <w:w w:val="105"/>
                <w:sz w:val="24"/>
                <w:szCs w:val="24"/>
              </w:rPr>
              <w:t xml:space="preserve"> </w:t>
            </w:r>
            <w:r w:rsidRPr="00E34DE5">
              <w:rPr>
                <w:color w:val="0C0C0C"/>
                <w:w w:val="105"/>
                <w:sz w:val="24"/>
                <w:szCs w:val="24"/>
              </w:rPr>
              <w:t>legal</w:t>
            </w:r>
            <w:r w:rsidRPr="00E34DE5">
              <w:rPr>
                <w:color w:val="0C0C0C"/>
                <w:spacing w:val="-12"/>
                <w:w w:val="105"/>
                <w:sz w:val="24"/>
                <w:szCs w:val="24"/>
              </w:rPr>
              <w:t xml:space="preserve"> </w:t>
            </w:r>
            <w:r w:rsidRPr="00E34DE5">
              <w:rPr>
                <w:color w:val="0C0C0C"/>
                <w:w w:val="105"/>
                <w:sz w:val="24"/>
                <w:szCs w:val="24"/>
              </w:rPr>
              <w:t>and</w:t>
            </w:r>
            <w:r w:rsidRPr="00E34DE5">
              <w:rPr>
                <w:color w:val="0C0C0C"/>
                <w:spacing w:val="-21"/>
                <w:w w:val="105"/>
                <w:sz w:val="24"/>
                <w:szCs w:val="24"/>
              </w:rPr>
              <w:t xml:space="preserve"> </w:t>
            </w:r>
            <w:r w:rsidRPr="00E34DE5">
              <w:rPr>
                <w:color w:val="0C0C0C"/>
                <w:w w:val="105"/>
                <w:sz w:val="24"/>
                <w:szCs w:val="24"/>
              </w:rPr>
              <w:t>moral</w:t>
            </w:r>
            <w:r w:rsidRPr="00E34DE5">
              <w:rPr>
                <w:color w:val="0C0C0C"/>
                <w:spacing w:val="-13"/>
                <w:w w:val="105"/>
                <w:sz w:val="24"/>
                <w:szCs w:val="24"/>
              </w:rPr>
              <w:t xml:space="preserve"> </w:t>
            </w:r>
            <w:r w:rsidRPr="00E34DE5">
              <w:rPr>
                <w:color w:val="0C0C0C"/>
                <w:w w:val="105"/>
                <w:sz w:val="24"/>
                <w:szCs w:val="24"/>
              </w:rPr>
              <w:t>commitment</w:t>
            </w:r>
            <w:r w:rsidRPr="00E34DE5">
              <w:rPr>
                <w:color w:val="0C0C0C"/>
                <w:spacing w:val="-5"/>
                <w:w w:val="105"/>
                <w:sz w:val="24"/>
                <w:szCs w:val="24"/>
              </w:rPr>
              <w:t xml:space="preserve"> </w:t>
            </w:r>
            <w:r w:rsidRPr="00E34DE5">
              <w:rPr>
                <w:color w:val="0C0C0C"/>
                <w:w w:val="105"/>
                <w:sz w:val="24"/>
                <w:szCs w:val="24"/>
              </w:rPr>
              <w:t>to building a positive workplace culture</w:t>
            </w:r>
            <w:r w:rsidRPr="00E34DE5">
              <w:rPr>
                <w:color w:val="0C0C0C"/>
                <w:spacing w:val="-19"/>
                <w:w w:val="105"/>
                <w:sz w:val="24"/>
                <w:szCs w:val="24"/>
              </w:rPr>
              <w:t>, ensuring</w:t>
            </w:r>
            <w:r w:rsidRPr="00E34DE5">
              <w:rPr>
                <w:color w:val="0C0C0C"/>
                <w:spacing w:val="-11"/>
                <w:w w:val="105"/>
                <w:sz w:val="24"/>
                <w:szCs w:val="24"/>
              </w:rPr>
              <w:t xml:space="preserve"> </w:t>
            </w:r>
            <w:r w:rsidRPr="00E34DE5">
              <w:rPr>
                <w:color w:val="0C0C0C"/>
                <w:w w:val="105"/>
                <w:sz w:val="24"/>
                <w:szCs w:val="24"/>
              </w:rPr>
              <w:t>healthy and</w:t>
            </w:r>
            <w:r w:rsidRPr="00E34DE5">
              <w:rPr>
                <w:color w:val="0C0C0C"/>
                <w:spacing w:val="-11"/>
                <w:w w:val="105"/>
                <w:sz w:val="24"/>
                <w:szCs w:val="24"/>
              </w:rPr>
              <w:t xml:space="preserve"> </w:t>
            </w:r>
            <w:r w:rsidRPr="00E34DE5">
              <w:rPr>
                <w:color w:val="0C0C0C"/>
                <w:w w:val="105"/>
                <w:sz w:val="24"/>
                <w:szCs w:val="24"/>
              </w:rPr>
              <w:t>safe</w:t>
            </w:r>
            <w:r w:rsidRPr="00E34DE5">
              <w:rPr>
                <w:color w:val="0C0C0C"/>
                <w:spacing w:val="-14"/>
                <w:w w:val="105"/>
                <w:sz w:val="24"/>
                <w:szCs w:val="24"/>
              </w:rPr>
              <w:t xml:space="preserve"> </w:t>
            </w:r>
            <w:r w:rsidRPr="00E34DE5">
              <w:rPr>
                <w:color w:val="0C0C0C"/>
                <w:w w:val="105"/>
                <w:sz w:val="24"/>
                <w:szCs w:val="24"/>
              </w:rPr>
              <w:t>working</w:t>
            </w:r>
            <w:r w:rsidRPr="00E34DE5">
              <w:rPr>
                <w:color w:val="0C0C0C"/>
                <w:spacing w:val="-2"/>
                <w:w w:val="105"/>
                <w:sz w:val="24"/>
                <w:szCs w:val="24"/>
              </w:rPr>
              <w:t xml:space="preserve"> </w:t>
            </w:r>
            <w:r w:rsidRPr="00E34DE5">
              <w:rPr>
                <w:color w:val="0C0C0C"/>
                <w:w w:val="105"/>
                <w:sz w:val="24"/>
                <w:szCs w:val="24"/>
              </w:rPr>
              <w:t>and</w:t>
            </w:r>
            <w:r w:rsidRPr="00E34DE5">
              <w:rPr>
                <w:color w:val="0C0C0C"/>
                <w:spacing w:val="-12"/>
                <w:w w:val="105"/>
                <w:sz w:val="24"/>
                <w:szCs w:val="24"/>
              </w:rPr>
              <w:t xml:space="preserve"> </w:t>
            </w:r>
            <w:r w:rsidRPr="00E34DE5">
              <w:rPr>
                <w:color w:val="0C0C0C"/>
                <w:w w:val="105"/>
                <w:sz w:val="24"/>
                <w:szCs w:val="24"/>
              </w:rPr>
              <w:t>learning</w:t>
            </w:r>
            <w:r w:rsidRPr="00E34DE5">
              <w:rPr>
                <w:color w:val="0C0C0C"/>
                <w:spacing w:val="-7"/>
                <w:w w:val="105"/>
                <w:sz w:val="24"/>
                <w:szCs w:val="24"/>
              </w:rPr>
              <w:t xml:space="preserve"> </w:t>
            </w:r>
            <w:r w:rsidRPr="00E34DE5">
              <w:rPr>
                <w:color w:val="0C0C0C"/>
                <w:w w:val="105"/>
                <w:sz w:val="24"/>
                <w:szCs w:val="24"/>
              </w:rPr>
              <w:t>environments by:</w:t>
            </w:r>
            <w:bookmarkEnd w:id="1"/>
          </w:p>
          <w:bookmarkEnd w:id="2"/>
          <w:p w14:paraId="5173C07B" w14:textId="2626F9FF" w:rsidR="00E34DE5" w:rsidRDefault="00E34DE5" w:rsidP="00E11F0F">
            <w:pPr>
              <w:pStyle w:val="BodyText"/>
              <w:spacing w:before="10"/>
              <w:rPr>
                <w:sz w:val="24"/>
                <w:szCs w:val="24"/>
              </w:rPr>
            </w:pPr>
          </w:p>
        </w:tc>
        <w:tc>
          <w:tcPr>
            <w:tcW w:w="7488" w:type="dxa"/>
          </w:tcPr>
          <w:p w14:paraId="0BCB42CD" w14:textId="5F27C032"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providing and integrating a robust and credible Occupational Health and Safety (OHS) Management System that aligns with legislative requirements and the Department’s strategic direction and operations</w:t>
            </w:r>
          </w:p>
          <w:p w14:paraId="0FCE643A" w14:textId="77777777"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providing and maintaining inclusive workplaces that mitigate risks to physical and psychological health and safety</w:t>
            </w:r>
          </w:p>
          <w:p w14:paraId="7BE7CFEC" w14:textId="77777777" w:rsidR="00E34DE5" w:rsidRPr="00A9737D" w:rsidRDefault="00E34DE5" w:rsidP="00E34DE5">
            <w:pPr>
              <w:pStyle w:val="ListParagraph"/>
              <w:numPr>
                <w:ilvl w:val="0"/>
                <w:numId w:val="5"/>
              </w:numPr>
              <w:spacing w:before="40" w:after="40"/>
              <w:rPr>
                <w:color w:val="0C0C0C"/>
                <w:w w:val="105"/>
                <w:sz w:val="24"/>
                <w:szCs w:val="24"/>
              </w:rPr>
            </w:pPr>
            <w:r w:rsidRPr="00A9737D">
              <w:rPr>
                <w:color w:val="0C0C0C"/>
                <w:w w:val="105"/>
                <w:sz w:val="24"/>
                <w:szCs w:val="24"/>
              </w:rPr>
              <w:t>outlining expectations and accountabilities, and empowering leaders and employees to play an active role in maintaining healthy and safe workplaces</w:t>
            </w:r>
          </w:p>
          <w:p w14:paraId="07207C2F" w14:textId="77777777" w:rsidR="00E34DE5" w:rsidRPr="00A9737D" w:rsidRDefault="00E34DE5" w:rsidP="00E34DE5">
            <w:pPr>
              <w:pStyle w:val="ListParagraph"/>
              <w:numPr>
                <w:ilvl w:val="0"/>
                <w:numId w:val="5"/>
              </w:numPr>
              <w:spacing w:before="40" w:after="40"/>
              <w:rPr>
                <w:color w:val="0C0C0C"/>
                <w:w w:val="105"/>
                <w:sz w:val="24"/>
                <w:szCs w:val="24"/>
              </w:rPr>
            </w:pPr>
            <w:r w:rsidRPr="00A9737D">
              <w:rPr>
                <w:color w:val="0C0C0C"/>
                <w:w w:val="105"/>
                <w:sz w:val="24"/>
                <w:szCs w:val="24"/>
              </w:rPr>
              <w:t>embedding and promoting a culture of shared responsiveness, willingness, and ownership, relating to reporting, and addressing health, safety and wellbeing risks</w:t>
            </w:r>
          </w:p>
          <w:p w14:paraId="60AC163C" w14:textId="5C478861" w:rsidR="00E34DE5" w:rsidRPr="00E34DE5" w:rsidRDefault="00E34DE5" w:rsidP="00E34DE5">
            <w:pPr>
              <w:pStyle w:val="ListParagraph"/>
              <w:numPr>
                <w:ilvl w:val="0"/>
                <w:numId w:val="5"/>
              </w:numPr>
              <w:spacing w:before="40" w:after="40"/>
              <w:rPr>
                <w:color w:val="0C0C0C"/>
                <w:w w:val="105"/>
                <w:sz w:val="24"/>
                <w:szCs w:val="24"/>
              </w:rPr>
            </w:pPr>
            <w:r w:rsidRPr="00A9737D">
              <w:rPr>
                <w:color w:val="0C0C0C"/>
                <w:w w:val="105"/>
                <w:sz w:val="24"/>
                <w:szCs w:val="24"/>
              </w:rPr>
              <w:t>providing and applying a robust injury management framework to foster and build a strong culture of early intervention, rehabilitation and return to work</w:t>
            </w:r>
            <w:r>
              <w:rPr>
                <w:color w:val="0C0C0C"/>
                <w:w w:val="105"/>
                <w:sz w:val="24"/>
                <w:szCs w:val="24"/>
              </w:rPr>
              <w:t>.</w:t>
            </w:r>
          </w:p>
        </w:tc>
      </w:tr>
      <w:tr w:rsidR="00E34DE5" w14:paraId="64EF229F" w14:textId="77777777" w:rsidTr="00E34DE5">
        <w:tc>
          <w:tcPr>
            <w:tcW w:w="3539" w:type="dxa"/>
          </w:tcPr>
          <w:p w14:paraId="529AB9D4" w14:textId="43DA41F1" w:rsidR="00E34DE5" w:rsidRPr="00E34DE5" w:rsidRDefault="00E34DE5" w:rsidP="00E34DE5">
            <w:pPr>
              <w:pStyle w:val="BodyText"/>
              <w:spacing w:before="10"/>
              <w:rPr>
                <w:b/>
                <w:bCs/>
                <w:color w:val="0C0C0C"/>
                <w:w w:val="105"/>
                <w:sz w:val="24"/>
                <w:szCs w:val="24"/>
              </w:rPr>
            </w:pPr>
            <w:r w:rsidRPr="00E34DE5">
              <w:rPr>
                <w:b/>
                <w:bCs/>
                <w:color w:val="0C0C0C"/>
                <w:w w:val="105"/>
                <w:sz w:val="24"/>
                <w:szCs w:val="24"/>
              </w:rPr>
              <w:t>Consultation Commitment</w:t>
            </w:r>
            <w:r w:rsidR="004142EF">
              <w:rPr>
                <w:b/>
                <w:bCs/>
                <w:color w:val="0C0C0C"/>
                <w:w w:val="105"/>
                <w:sz w:val="24"/>
                <w:szCs w:val="24"/>
              </w:rPr>
              <w:t>.</w:t>
            </w:r>
          </w:p>
          <w:p w14:paraId="4106ADA7" w14:textId="77777777" w:rsidR="00E34DE5" w:rsidRDefault="00E34DE5" w:rsidP="00E34DE5">
            <w:pPr>
              <w:pStyle w:val="Heading1"/>
              <w:spacing w:before="10" w:after="40"/>
              <w:ind w:left="0"/>
              <w:rPr>
                <w:b w:val="0"/>
                <w:bCs w:val="0"/>
                <w:color w:val="0C0C0C"/>
                <w:w w:val="105"/>
                <w:sz w:val="24"/>
                <w:szCs w:val="24"/>
              </w:rPr>
            </w:pPr>
          </w:p>
          <w:p w14:paraId="14D7CA57" w14:textId="708F358F" w:rsidR="00E34DE5" w:rsidRPr="00E34DE5" w:rsidRDefault="00E34DE5" w:rsidP="00E34DE5">
            <w:pPr>
              <w:pStyle w:val="Heading1"/>
              <w:spacing w:before="10" w:after="40"/>
              <w:ind w:left="0"/>
              <w:rPr>
                <w:b w:val="0"/>
                <w:bCs w:val="0"/>
                <w:color w:val="0C0C0C"/>
                <w:w w:val="105"/>
                <w:sz w:val="24"/>
                <w:szCs w:val="24"/>
              </w:rPr>
            </w:pPr>
            <w:r w:rsidRPr="00E34DE5">
              <w:rPr>
                <w:b w:val="0"/>
                <w:bCs w:val="0"/>
                <w:color w:val="0C0C0C"/>
                <w:w w:val="105"/>
                <w:sz w:val="24"/>
                <w:szCs w:val="24"/>
              </w:rPr>
              <w:t>Consult, collaborate, and communicate with employees including health and safety representatives on:</w:t>
            </w:r>
          </w:p>
          <w:p w14:paraId="0D81DE14" w14:textId="77777777" w:rsidR="00E34DE5" w:rsidRPr="00E34DE5" w:rsidRDefault="00E34DE5" w:rsidP="00E34DE5">
            <w:pPr>
              <w:pStyle w:val="BodyText"/>
              <w:spacing w:before="10"/>
              <w:rPr>
                <w:color w:val="0C0C0C"/>
                <w:w w:val="105"/>
                <w:sz w:val="24"/>
                <w:szCs w:val="24"/>
              </w:rPr>
            </w:pPr>
          </w:p>
        </w:tc>
        <w:tc>
          <w:tcPr>
            <w:tcW w:w="7488" w:type="dxa"/>
          </w:tcPr>
          <w:p w14:paraId="16845505"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identifying hazards, assessing risks, and making decisions about the measures to control risks to health and safety and proposed changes to the workplace that may affect the health, safety, and wellbeing of persons</w:t>
            </w:r>
          </w:p>
          <w:p w14:paraId="6DBE5A22" w14:textId="77777777" w:rsidR="00E34DE5" w:rsidRPr="00A9737D" w:rsidRDefault="00E34DE5" w:rsidP="00E34DE5">
            <w:pPr>
              <w:pStyle w:val="ListParagraph"/>
              <w:numPr>
                <w:ilvl w:val="0"/>
                <w:numId w:val="5"/>
              </w:numPr>
              <w:spacing w:before="40" w:after="40"/>
              <w:rPr>
                <w:color w:val="0C0C0C"/>
                <w:w w:val="105"/>
                <w:sz w:val="24"/>
                <w:szCs w:val="24"/>
              </w:rPr>
            </w:pPr>
            <w:r w:rsidRPr="00A9737D">
              <w:rPr>
                <w:color w:val="0C0C0C"/>
                <w:w w:val="105"/>
                <w:sz w:val="24"/>
                <w:szCs w:val="24"/>
              </w:rPr>
              <w:t>health, safety, and wellbeing issue resolution</w:t>
            </w:r>
          </w:p>
          <w:p w14:paraId="3A94C8D5" w14:textId="77777777"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provision of health, safety and wellbeing information, training, instruction, and supervision</w:t>
            </w:r>
          </w:p>
          <w:p w14:paraId="78E95E3B" w14:textId="77777777"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the importance of giving employees a reasonable timeframe to express their views and concerns and that these are taken into account when making decisions that may affect their health, safety and wellbeing</w:t>
            </w:r>
          </w:p>
          <w:p w14:paraId="4A316B53" w14:textId="31ED4E83" w:rsidR="00E34DE5" w:rsidRPr="00E34DE5"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flexible work arrangements and family friendly work practices to support and maintain an inclusive, diverse, respectful adaptive, workforce.</w:t>
            </w:r>
          </w:p>
        </w:tc>
      </w:tr>
      <w:tr w:rsidR="00E34DE5" w14:paraId="3FE2D754" w14:textId="77777777" w:rsidTr="00E34DE5">
        <w:tc>
          <w:tcPr>
            <w:tcW w:w="3539" w:type="dxa"/>
          </w:tcPr>
          <w:p w14:paraId="41897F90" w14:textId="27208A34" w:rsidR="00E34DE5" w:rsidRPr="00E34DE5" w:rsidRDefault="00E34DE5" w:rsidP="00E34DE5">
            <w:pPr>
              <w:pStyle w:val="BodyText"/>
              <w:spacing w:before="10"/>
              <w:rPr>
                <w:b/>
                <w:bCs/>
                <w:color w:val="0C0C0C"/>
                <w:w w:val="105"/>
                <w:sz w:val="24"/>
                <w:szCs w:val="24"/>
              </w:rPr>
            </w:pPr>
            <w:r w:rsidRPr="00E34DE5">
              <w:rPr>
                <w:b/>
                <w:bCs/>
                <w:color w:val="0C0C0C"/>
                <w:w w:val="105"/>
                <w:sz w:val="24"/>
                <w:szCs w:val="24"/>
              </w:rPr>
              <w:t>Driving Continuous HSW Improvement Commitment</w:t>
            </w:r>
            <w:r w:rsidR="004142EF">
              <w:rPr>
                <w:b/>
                <w:bCs/>
                <w:color w:val="0C0C0C"/>
                <w:w w:val="105"/>
                <w:sz w:val="24"/>
                <w:szCs w:val="24"/>
              </w:rPr>
              <w:t>.</w:t>
            </w:r>
          </w:p>
          <w:p w14:paraId="26FF778E" w14:textId="77777777" w:rsidR="00E34DE5" w:rsidRDefault="00E34DE5" w:rsidP="00E34DE5">
            <w:pPr>
              <w:spacing w:before="10" w:after="40"/>
              <w:rPr>
                <w:color w:val="0C0C0C"/>
                <w:w w:val="105"/>
                <w:sz w:val="24"/>
                <w:szCs w:val="24"/>
              </w:rPr>
            </w:pPr>
          </w:p>
          <w:p w14:paraId="52EF8E4E" w14:textId="3840BF81" w:rsidR="00E34DE5" w:rsidRPr="00E34DE5" w:rsidRDefault="00E34DE5" w:rsidP="00E34DE5">
            <w:pPr>
              <w:spacing w:before="10" w:after="40"/>
              <w:rPr>
                <w:color w:val="0C0C0C"/>
                <w:w w:val="105"/>
                <w:sz w:val="24"/>
                <w:szCs w:val="24"/>
              </w:rPr>
            </w:pPr>
            <w:r w:rsidRPr="00E34DE5">
              <w:rPr>
                <w:color w:val="0C0C0C"/>
                <w:w w:val="105"/>
                <w:sz w:val="24"/>
                <w:szCs w:val="24"/>
              </w:rPr>
              <w:t>Support continual health, safety and wellbeing improvement by:</w:t>
            </w:r>
          </w:p>
          <w:p w14:paraId="451014F0" w14:textId="77777777" w:rsidR="00E34DE5" w:rsidRPr="00E34DE5" w:rsidRDefault="00E34DE5" w:rsidP="00E34DE5">
            <w:pPr>
              <w:pStyle w:val="BodyText"/>
              <w:spacing w:before="10"/>
              <w:rPr>
                <w:color w:val="0C0C0C"/>
                <w:w w:val="105"/>
                <w:sz w:val="24"/>
                <w:szCs w:val="24"/>
              </w:rPr>
            </w:pPr>
          </w:p>
        </w:tc>
        <w:tc>
          <w:tcPr>
            <w:tcW w:w="7488" w:type="dxa"/>
          </w:tcPr>
          <w:p w14:paraId="641222AB"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improving the suitability and effectiveness of the OHS Management System through regular monitoring and review of policies and procedures</w:t>
            </w:r>
          </w:p>
          <w:p w14:paraId="26C8D77C"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establishing and monitoring progress towards measurable objectives and targets aimed at reducing work-related injury and ill health and improving safety performance</w:t>
            </w:r>
          </w:p>
          <w:p w14:paraId="01FF6FF7" w14:textId="57325722"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using data to provide an evidence-based approach for setting the Department’s strategic direction and identifying</w:t>
            </w:r>
            <w:r>
              <w:rPr>
                <w:color w:val="0C0C0C"/>
                <w:w w:val="105"/>
                <w:sz w:val="24"/>
                <w:szCs w:val="24"/>
              </w:rPr>
              <w:t xml:space="preserve"> </w:t>
            </w:r>
            <w:r w:rsidRPr="00E11F0F">
              <w:rPr>
                <w:color w:val="0C0C0C"/>
                <w:w w:val="105"/>
                <w:sz w:val="24"/>
                <w:szCs w:val="24"/>
              </w:rPr>
              <w:t>measurable objectives and targets</w:t>
            </w:r>
          </w:p>
          <w:p w14:paraId="1500199A" w14:textId="3F7707E2"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allocating adequate resources to efficiently integrate and maintain the OHS Management System to comply with relevant legal and compliance obligations.</w:t>
            </w:r>
          </w:p>
        </w:tc>
      </w:tr>
      <w:tr w:rsidR="00E34DE5" w14:paraId="2E8E9BFF" w14:textId="77777777" w:rsidTr="00E34DE5">
        <w:tc>
          <w:tcPr>
            <w:tcW w:w="3539" w:type="dxa"/>
          </w:tcPr>
          <w:p w14:paraId="1F376839" w14:textId="2662A397" w:rsidR="00E34DE5" w:rsidRDefault="00E34DE5" w:rsidP="00E34DE5">
            <w:pPr>
              <w:pStyle w:val="BodyText"/>
              <w:spacing w:before="10"/>
              <w:rPr>
                <w:b/>
                <w:bCs/>
                <w:color w:val="0C0C0C"/>
                <w:w w:val="105"/>
                <w:sz w:val="24"/>
                <w:szCs w:val="24"/>
              </w:rPr>
            </w:pPr>
            <w:r w:rsidRPr="00E34DE5">
              <w:rPr>
                <w:b/>
                <w:bCs/>
                <w:color w:val="0C0C0C"/>
                <w:w w:val="105"/>
                <w:sz w:val="24"/>
                <w:szCs w:val="24"/>
              </w:rPr>
              <w:lastRenderedPageBreak/>
              <w:t>Building Capability Commitment</w:t>
            </w:r>
            <w:r w:rsidR="004142EF">
              <w:rPr>
                <w:b/>
                <w:bCs/>
                <w:color w:val="0C0C0C"/>
                <w:w w:val="105"/>
                <w:sz w:val="24"/>
                <w:szCs w:val="24"/>
              </w:rPr>
              <w:t>.</w:t>
            </w:r>
          </w:p>
          <w:p w14:paraId="065D7B5D" w14:textId="77777777" w:rsidR="00E34DE5" w:rsidRPr="00E34DE5" w:rsidRDefault="00E34DE5" w:rsidP="00E34DE5">
            <w:pPr>
              <w:pStyle w:val="BodyText"/>
              <w:spacing w:before="10"/>
              <w:rPr>
                <w:b/>
                <w:bCs/>
                <w:color w:val="0C0C0C"/>
                <w:w w:val="105"/>
                <w:sz w:val="24"/>
                <w:szCs w:val="24"/>
              </w:rPr>
            </w:pPr>
          </w:p>
          <w:p w14:paraId="2BA618EB" w14:textId="77777777" w:rsidR="00E34DE5" w:rsidRPr="00E34DE5" w:rsidRDefault="00E34DE5" w:rsidP="00E34DE5">
            <w:pPr>
              <w:spacing w:before="10" w:after="40"/>
              <w:rPr>
                <w:color w:val="0C0C0C"/>
                <w:w w:val="105"/>
                <w:sz w:val="24"/>
                <w:szCs w:val="24"/>
              </w:rPr>
            </w:pPr>
            <w:r w:rsidRPr="00E34DE5">
              <w:rPr>
                <w:color w:val="0C0C0C"/>
                <w:w w:val="105"/>
                <w:sz w:val="24"/>
                <w:szCs w:val="24"/>
              </w:rPr>
              <w:t>Support building capability by:</w:t>
            </w:r>
            <w:r w:rsidRPr="00E11F0F">
              <w:rPr>
                <w:color w:val="0C0C0C"/>
                <w:w w:val="105"/>
                <w:sz w:val="24"/>
                <w:szCs w:val="24"/>
              </w:rPr>
              <w:t xml:space="preserve"> </w:t>
            </w:r>
          </w:p>
          <w:p w14:paraId="7C6B75B2" w14:textId="77777777" w:rsidR="00E34DE5" w:rsidRPr="00E34DE5" w:rsidRDefault="00E34DE5" w:rsidP="00E34DE5">
            <w:pPr>
              <w:pStyle w:val="BodyText"/>
              <w:spacing w:before="10"/>
              <w:rPr>
                <w:color w:val="0C0C0C"/>
                <w:w w:val="105"/>
                <w:sz w:val="24"/>
                <w:szCs w:val="24"/>
              </w:rPr>
            </w:pPr>
          </w:p>
        </w:tc>
        <w:tc>
          <w:tcPr>
            <w:tcW w:w="7488" w:type="dxa"/>
          </w:tcPr>
          <w:p w14:paraId="61DE1DA2"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embedding individual health, safety, and wellbeing accountabilities for all employees across the Department</w:t>
            </w:r>
          </w:p>
          <w:p w14:paraId="2123BEE6" w14:textId="77777777"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embedding legislative and Department health and safety requirements in all policies and procedures</w:t>
            </w:r>
          </w:p>
          <w:p w14:paraId="735F385F"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increasing awareness and improving utilisation of the safety supports and resources available</w:t>
            </w:r>
          </w:p>
          <w:p w14:paraId="270284E8" w14:textId="77777777"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providing access to transparent and robust health, safety and wellbeing information, training, instruction, and documentation</w:t>
            </w:r>
          </w:p>
          <w:p w14:paraId="418F391B" w14:textId="1E86DFD9" w:rsidR="00E34DE5" w:rsidRPr="00E34DE5"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strengthening leadership capability</w:t>
            </w:r>
            <w:r w:rsidRPr="00E34DE5">
              <w:rPr>
                <w:color w:val="0C0C0C"/>
                <w:w w:val="105"/>
                <w:sz w:val="24"/>
                <w:szCs w:val="24"/>
              </w:rPr>
              <w:t xml:space="preserve"> by improving understanding of applying and implementing health, safety and wellbeing supports and resources available.</w:t>
            </w:r>
          </w:p>
        </w:tc>
      </w:tr>
      <w:tr w:rsidR="00E34DE5" w14:paraId="21F7947F" w14:textId="77777777" w:rsidTr="00E34DE5">
        <w:tc>
          <w:tcPr>
            <w:tcW w:w="3539" w:type="dxa"/>
          </w:tcPr>
          <w:p w14:paraId="0F6ACF23" w14:textId="312AA243" w:rsidR="00E34DE5" w:rsidRPr="00E34DE5" w:rsidRDefault="00E34DE5" w:rsidP="00E34DE5">
            <w:pPr>
              <w:pStyle w:val="BodyText"/>
              <w:spacing w:before="10"/>
              <w:rPr>
                <w:b/>
                <w:bCs/>
                <w:color w:val="0C0C0C"/>
                <w:w w:val="105"/>
                <w:sz w:val="24"/>
                <w:szCs w:val="24"/>
              </w:rPr>
            </w:pPr>
            <w:r w:rsidRPr="00E34DE5">
              <w:rPr>
                <w:b/>
                <w:bCs/>
                <w:color w:val="0C0C0C"/>
                <w:w w:val="105"/>
                <w:sz w:val="24"/>
                <w:szCs w:val="24"/>
              </w:rPr>
              <w:t>Risk Management Commitment</w:t>
            </w:r>
            <w:r w:rsidR="004142EF">
              <w:rPr>
                <w:b/>
                <w:bCs/>
                <w:color w:val="0C0C0C"/>
                <w:w w:val="105"/>
                <w:sz w:val="24"/>
                <w:szCs w:val="24"/>
              </w:rPr>
              <w:t>.</w:t>
            </w:r>
          </w:p>
          <w:p w14:paraId="31D412DF" w14:textId="77777777" w:rsidR="00E34DE5" w:rsidRDefault="00E34DE5" w:rsidP="00E34DE5">
            <w:pPr>
              <w:pStyle w:val="Heading1"/>
              <w:spacing w:before="10" w:after="40"/>
              <w:ind w:left="0"/>
              <w:rPr>
                <w:b w:val="0"/>
                <w:bCs w:val="0"/>
                <w:color w:val="0C0C0C"/>
                <w:w w:val="105"/>
                <w:sz w:val="24"/>
                <w:szCs w:val="24"/>
              </w:rPr>
            </w:pPr>
          </w:p>
          <w:p w14:paraId="0F99324E" w14:textId="4B525D5A" w:rsidR="00E34DE5" w:rsidRPr="00E34DE5" w:rsidRDefault="00E34DE5" w:rsidP="00E34DE5">
            <w:pPr>
              <w:pStyle w:val="Heading1"/>
              <w:spacing w:before="10" w:after="40"/>
              <w:ind w:left="0"/>
              <w:rPr>
                <w:b w:val="0"/>
                <w:bCs w:val="0"/>
                <w:color w:val="0C0C0C"/>
                <w:w w:val="105"/>
                <w:sz w:val="24"/>
                <w:szCs w:val="24"/>
              </w:rPr>
            </w:pPr>
            <w:r w:rsidRPr="00E34DE5">
              <w:rPr>
                <w:b w:val="0"/>
                <w:bCs w:val="0"/>
                <w:color w:val="0C0C0C"/>
                <w:w w:val="105"/>
                <w:sz w:val="24"/>
                <w:szCs w:val="24"/>
              </w:rPr>
              <w:t>Support the prevention of workplace injuries and ill health by:</w:t>
            </w:r>
          </w:p>
          <w:p w14:paraId="300361A6" w14:textId="77777777" w:rsidR="00E34DE5" w:rsidRPr="00E34DE5" w:rsidRDefault="00E34DE5" w:rsidP="00E34DE5">
            <w:pPr>
              <w:pStyle w:val="BodyText"/>
              <w:spacing w:before="10"/>
              <w:rPr>
                <w:color w:val="0C0C0C"/>
                <w:w w:val="105"/>
                <w:sz w:val="24"/>
                <w:szCs w:val="24"/>
              </w:rPr>
            </w:pPr>
          </w:p>
        </w:tc>
        <w:tc>
          <w:tcPr>
            <w:tcW w:w="7488" w:type="dxa"/>
          </w:tcPr>
          <w:p w14:paraId="28C8F521" w14:textId="77777777" w:rsidR="00E34DE5" w:rsidRPr="00E11F0F"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strengthening systems of work for identifying, assessing, controlling</w:t>
            </w:r>
            <w:r w:rsidRPr="00E34DE5">
              <w:rPr>
                <w:color w:val="0C0C0C"/>
                <w:w w:val="105"/>
                <w:sz w:val="24"/>
                <w:szCs w:val="24"/>
              </w:rPr>
              <w:t xml:space="preserve">, </w:t>
            </w:r>
            <w:r w:rsidRPr="00E11F0F">
              <w:rPr>
                <w:color w:val="0C0C0C"/>
                <w:w w:val="105"/>
                <w:sz w:val="24"/>
                <w:szCs w:val="24"/>
              </w:rPr>
              <w:t>monitoring, and reviewing hazards and associated risks arising from task / workplace activities</w:t>
            </w:r>
          </w:p>
          <w:p w14:paraId="4070C329" w14:textId="77777777" w:rsidR="00E34DE5" w:rsidRPr="00A9737D" w:rsidRDefault="00E34DE5" w:rsidP="00E34DE5">
            <w:pPr>
              <w:pStyle w:val="ListParagraph"/>
              <w:numPr>
                <w:ilvl w:val="0"/>
                <w:numId w:val="5"/>
              </w:numPr>
              <w:spacing w:before="40" w:after="40"/>
              <w:rPr>
                <w:color w:val="0C0C0C"/>
                <w:w w:val="105"/>
                <w:sz w:val="24"/>
                <w:szCs w:val="24"/>
              </w:rPr>
            </w:pPr>
            <w:r w:rsidRPr="00E11F0F">
              <w:rPr>
                <w:color w:val="0C0C0C"/>
                <w:w w:val="105"/>
                <w:sz w:val="24"/>
                <w:szCs w:val="24"/>
              </w:rPr>
              <w:t xml:space="preserve">proactively aiming to identify hazards and eliminate (if not possible, minimise) risks, in the workplace by implementing controls in a timely manner  </w:t>
            </w:r>
          </w:p>
          <w:p w14:paraId="40FBE35F"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promoting and improving the reporting of incidents, near misses, injuries and hazards and investigating where appropriate, to prevent re­occurrence</w:t>
            </w:r>
          </w:p>
          <w:p w14:paraId="1A4E876F" w14:textId="77777777"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providing an OHS Management System that is flexible and adaptable to the risk profile of Department workplaces</w:t>
            </w:r>
          </w:p>
          <w:p w14:paraId="0CC5F93F" w14:textId="3BC79DFC" w:rsidR="00E34DE5" w:rsidRPr="00E34DE5" w:rsidRDefault="00E34DE5" w:rsidP="00E34DE5">
            <w:pPr>
              <w:pStyle w:val="ListParagraph"/>
              <w:numPr>
                <w:ilvl w:val="0"/>
                <w:numId w:val="5"/>
              </w:numPr>
              <w:spacing w:before="40" w:after="40"/>
              <w:rPr>
                <w:color w:val="0C0C0C"/>
                <w:w w:val="105"/>
                <w:sz w:val="24"/>
                <w:szCs w:val="24"/>
              </w:rPr>
            </w:pPr>
            <w:r w:rsidRPr="00E34DE5">
              <w:rPr>
                <w:color w:val="0C0C0C"/>
                <w:w w:val="105"/>
                <w:sz w:val="24"/>
                <w:szCs w:val="24"/>
              </w:rPr>
              <w:t>implementing risk controls to achieve improved mental health and wellbeing outcomes and reduce psychosocial hazards in the workplace</w:t>
            </w:r>
          </w:p>
        </w:tc>
      </w:tr>
    </w:tbl>
    <w:p w14:paraId="18A78244" w14:textId="77777777" w:rsidR="00E11F0F" w:rsidRPr="00E11F0F" w:rsidRDefault="00E11F0F" w:rsidP="00E34DE5">
      <w:pPr>
        <w:pStyle w:val="BodyText"/>
        <w:spacing w:line="266" w:lineRule="auto"/>
        <w:ind w:right="197"/>
        <w:jc w:val="both"/>
        <w:rPr>
          <w:b/>
          <w:color w:val="0C0C0C"/>
          <w:w w:val="105"/>
          <w:sz w:val="24"/>
          <w:szCs w:val="24"/>
        </w:rPr>
      </w:pPr>
    </w:p>
    <w:p w14:paraId="6D79F9D1" w14:textId="77777777" w:rsidR="00E11F0F" w:rsidRPr="00E11F0F" w:rsidRDefault="00E11F0F" w:rsidP="00E11F0F">
      <w:pPr>
        <w:spacing w:before="360" w:after="120" w:line="276" w:lineRule="auto"/>
        <w:ind w:left="567" w:right="318"/>
        <w:rPr>
          <w:sz w:val="24"/>
          <w:szCs w:val="24"/>
        </w:rPr>
      </w:pPr>
      <w:r w:rsidRPr="00E11F0F">
        <w:rPr>
          <w:b/>
          <w:color w:val="0C0C0C"/>
          <w:w w:val="105"/>
          <w:sz w:val="24"/>
          <w:szCs w:val="24"/>
        </w:rPr>
        <w:t xml:space="preserve">The Department employees, visitors, volunteers and contractors </w:t>
      </w:r>
      <w:r w:rsidRPr="00E11F0F">
        <w:rPr>
          <w:color w:val="0C0C0C"/>
          <w:w w:val="105"/>
          <w:sz w:val="24"/>
          <w:szCs w:val="24"/>
        </w:rPr>
        <w:t>are required to take reasonable care for their own health, safety and wellbeing and others that may be affected by their actions or omissions. These parties will cooperate with the Department in adhering to health and safety requirements including following the Department’s policies</w:t>
      </w:r>
      <w:r w:rsidRPr="00E11F0F">
        <w:rPr>
          <w:color w:val="262828"/>
          <w:w w:val="105"/>
          <w:sz w:val="24"/>
          <w:szCs w:val="24"/>
        </w:rPr>
        <w:t xml:space="preserve">, </w:t>
      </w:r>
      <w:r w:rsidRPr="00E11F0F">
        <w:rPr>
          <w:color w:val="0C0C0C"/>
          <w:w w:val="105"/>
          <w:sz w:val="24"/>
          <w:szCs w:val="24"/>
        </w:rPr>
        <w:t>procedures and/or instructions and participating in consultation and training.</w:t>
      </w:r>
    </w:p>
    <w:p w14:paraId="7B71C387" w14:textId="77777777" w:rsidR="00E11F0F" w:rsidRPr="00E11F0F" w:rsidRDefault="00E11F0F" w:rsidP="00E11F0F">
      <w:pPr>
        <w:spacing w:before="120" w:after="120" w:line="276" w:lineRule="auto"/>
        <w:ind w:left="567"/>
        <w:rPr>
          <w:sz w:val="24"/>
          <w:szCs w:val="24"/>
          <w:lang w:val="en"/>
        </w:rPr>
      </w:pPr>
      <w:r w:rsidRPr="00E11F0F">
        <w:rPr>
          <w:sz w:val="24"/>
          <w:szCs w:val="24"/>
          <w:lang w:val="en"/>
        </w:rPr>
        <w:t>The Department’s OHS Management System sets out how this policy is to be implemented.</w:t>
      </w:r>
    </w:p>
    <w:p w14:paraId="566714F1" w14:textId="77777777" w:rsidR="00E11F0F" w:rsidRPr="00FD39E9" w:rsidRDefault="00E11F0F" w:rsidP="00E11F0F">
      <w:pPr>
        <w:spacing w:before="120" w:after="120" w:line="276" w:lineRule="auto"/>
        <w:ind w:left="567"/>
        <w:rPr>
          <w:b/>
          <w:bCs/>
          <w:sz w:val="24"/>
          <w:szCs w:val="24"/>
          <w:lang w:val="en"/>
        </w:rPr>
      </w:pPr>
      <w:r w:rsidRPr="00FD39E9">
        <w:rPr>
          <w:b/>
          <w:bCs/>
          <w:sz w:val="24"/>
          <w:szCs w:val="24"/>
          <w:lang w:val="en"/>
        </w:rPr>
        <w:t>Jenny Atta</w:t>
      </w:r>
    </w:p>
    <w:p w14:paraId="4B9B47FA" w14:textId="77777777" w:rsidR="00E11F0F" w:rsidRPr="00FD39E9" w:rsidRDefault="00E11F0F" w:rsidP="00E11F0F">
      <w:pPr>
        <w:spacing w:before="60" w:after="60" w:line="276" w:lineRule="auto"/>
        <w:ind w:left="567"/>
        <w:rPr>
          <w:b/>
          <w:bCs/>
          <w:sz w:val="24"/>
          <w:szCs w:val="24"/>
          <w:lang w:val="en"/>
        </w:rPr>
      </w:pPr>
      <w:r w:rsidRPr="00FD39E9">
        <w:rPr>
          <w:b/>
          <w:bCs/>
          <w:sz w:val="24"/>
          <w:szCs w:val="24"/>
          <w:lang w:val="en"/>
        </w:rPr>
        <w:t>Secretary</w:t>
      </w:r>
    </w:p>
    <w:p w14:paraId="1F252747" w14:textId="0CDE8F4A" w:rsidR="00E11F0F" w:rsidRPr="00FD39E9" w:rsidRDefault="00E11F0F" w:rsidP="00E11F0F">
      <w:pPr>
        <w:spacing w:before="60" w:after="60" w:line="276" w:lineRule="auto"/>
        <w:ind w:left="567"/>
        <w:rPr>
          <w:b/>
          <w:bCs/>
          <w:sz w:val="24"/>
          <w:szCs w:val="24"/>
          <w:lang w:val="en"/>
        </w:rPr>
      </w:pPr>
      <w:bookmarkStart w:id="3" w:name="_Hlk76994374"/>
      <w:r w:rsidRPr="00FD39E9">
        <w:rPr>
          <w:b/>
          <w:bCs/>
          <w:sz w:val="24"/>
          <w:szCs w:val="24"/>
          <w:lang w:val="en"/>
        </w:rPr>
        <w:t xml:space="preserve"> </w:t>
      </w:r>
      <w:r w:rsidR="00FD39E9" w:rsidRPr="00FD39E9">
        <w:rPr>
          <w:b/>
          <w:bCs/>
          <w:sz w:val="24"/>
          <w:szCs w:val="24"/>
          <w:lang w:val="en"/>
        </w:rPr>
        <w:t>19</w:t>
      </w:r>
      <w:r w:rsidRPr="00FD39E9">
        <w:rPr>
          <w:b/>
          <w:bCs/>
          <w:sz w:val="24"/>
          <w:szCs w:val="24"/>
          <w:lang w:val="en"/>
        </w:rPr>
        <w:t xml:space="preserve"> </w:t>
      </w:r>
      <w:bookmarkEnd w:id="3"/>
      <w:r w:rsidRPr="00FD39E9">
        <w:rPr>
          <w:b/>
          <w:bCs/>
          <w:sz w:val="24"/>
          <w:szCs w:val="24"/>
          <w:lang w:val="en"/>
        </w:rPr>
        <w:t xml:space="preserve">/ </w:t>
      </w:r>
      <w:r w:rsidR="00FD39E9" w:rsidRPr="00FD39E9">
        <w:rPr>
          <w:b/>
          <w:bCs/>
          <w:sz w:val="24"/>
          <w:szCs w:val="24"/>
          <w:lang w:val="en"/>
        </w:rPr>
        <w:t>1</w:t>
      </w:r>
      <w:r w:rsidRPr="00FD39E9">
        <w:rPr>
          <w:b/>
          <w:bCs/>
          <w:sz w:val="24"/>
          <w:szCs w:val="24"/>
          <w:lang w:val="en"/>
        </w:rPr>
        <w:t xml:space="preserve"> / </w:t>
      </w:r>
      <w:r w:rsidR="00FD39E9" w:rsidRPr="00FD39E9">
        <w:rPr>
          <w:b/>
          <w:bCs/>
          <w:sz w:val="24"/>
          <w:szCs w:val="24"/>
          <w:lang w:val="en"/>
        </w:rPr>
        <w:t>2022</w:t>
      </w:r>
      <w:r w:rsidRPr="00FD39E9">
        <w:rPr>
          <w:b/>
          <w:bCs/>
          <w:sz w:val="24"/>
          <w:szCs w:val="24"/>
          <w:lang w:val="en"/>
        </w:rPr>
        <w:t xml:space="preserve">   </w:t>
      </w:r>
    </w:p>
    <w:p w14:paraId="4EBD641F" w14:textId="77777777" w:rsidR="00E11F0F" w:rsidRPr="00E11F0F" w:rsidRDefault="00E11F0F" w:rsidP="00E11F0F">
      <w:pPr>
        <w:pStyle w:val="BodyText"/>
        <w:spacing w:line="266" w:lineRule="auto"/>
        <w:ind w:left="567" w:right="197" w:firstLine="3"/>
        <w:jc w:val="both"/>
        <w:rPr>
          <w:b/>
          <w:color w:val="0C0C0C"/>
          <w:w w:val="105"/>
          <w:sz w:val="24"/>
          <w:szCs w:val="24"/>
        </w:rPr>
      </w:pPr>
    </w:p>
    <w:sectPr w:rsidR="00E11F0F" w:rsidRPr="00E11F0F" w:rsidSect="00F83A34">
      <w:type w:val="continuous"/>
      <w:pgSz w:w="11910" w:h="16840"/>
      <w:pgMar w:top="320" w:right="286" w:bottom="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8016" w14:textId="77777777" w:rsidR="00124825" w:rsidRDefault="00124825" w:rsidP="00E11F0F">
      <w:r>
        <w:separator/>
      </w:r>
    </w:p>
  </w:endnote>
  <w:endnote w:type="continuationSeparator" w:id="0">
    <w:p w14:paraId="01191AF9" w14:textId="77777777" w:rsidR="00124825" w:rsidRDefault="00124825" w:rsidP="00E1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D7A" w14:textId="19342CE1" w:rsidR="00E11F0F" w:rsidRDefault="00E11F0F">
    <w:pPr>
      <w:pStyle w:val="Footer"/>
    </w:pPr>
    <w:r>
      <w:rPr>
        <w:noProof/>
      </w:rPr>
      <mc:AlternateContent>
        <mc:Choice Requires="wpg">
          <w:drawing>
            <wp:inline distT="0" distB="0" distL="0" distR="0" wp14:anchorId="01AA79E0" wp14:editId="3774FEBE">
              <wp:extent cx="6172200" cy="274320"/>
              <wp:effectExtent l="0" t="0" r="0" b="0"/>
              <wp:docPr id="164" name="Group 164" descr="Footer: Last updated December 2021"/>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DDE97" w14:textId="55D67EB6" w:rsidR="00E11F0F" w:rsidRPr="00E11F0F" w:rsidRDefault="00492AB7">
                            <w:pPr>
                              <w:pStyle w:val="Footer"/>
                              <w:jc w:val="right"/>
                              <w:rPr>
                                <w:i/>
                                <w:iCs/>
                                <w:color w:val="595959" w:themeColor="text1" w:themeTint="A6"/>
                              </w:rPr>
                            </w:pPr>
                            <w:sdt>
                              <w:sdtPr>
                                <w:rPr>
                                  <w:i/>
                                  <w:iCs/>
                                  <w:caps/>
                                  <w:color w:val="595959" w:themeColor="text1" w:themeTint="A6"/>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E11F0F" w:rsidRPr="00E11F0F">
                                  <w:rPr>
                                    <w:i/>
                                    <w:iCs/>
                                    <w:caps/>
                                    <w:color w:val="595959" w:themeColor="text1" w:themeTint="A6"/>
                                    <w:sz w:val="20"/>
                                    <w:szCs w:val="20"/>
                                  </w:rPr>
                                  <w:t xml:space="preserve">     </w:t>
                                </w:r>
                              </w:sdtContent>
                            </w:sdt>
                            <w:r w:rsidR="00E11F0F" w:rsidRPr="00E11F0F">
                              <w:rPr>
                                <w:i/>
                                <w:iCs/>
                                <w:caps/>
                                <w:color w:val="595959" w:themeColor="text1" w:themeTint="A6"/>
                                <w:sz w:val="20"/>
                                <w:szCs w:val="20"/>
                              </w:rPr>
                              <w:t>  </w:t>
                            </w:r>
                            <w:sdt>
                              <w:sdtPr>
                                <w:rPr>
                                  <w:i/>
                                  <w:iCs/>
                                  <w:color w:val="595959" w:themeColor="text1" w:themeTint="A6"/>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FD39E9">
                                  <w:rPr>
                                    <w:i/>
                                    <w:iCs/>
                                    <w:color w:val="595959" w:themeColor="text1" w:themeTint="A6"/>
                                    <w:sz w:val="20"/>
                                    <w:szCs w:val="20"/>
                                  </w:rPr>
                                  <w:t>Health, Safety and Wellbeing Policy-Final</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inline>
          </w:drawing>
        </mc:Choice>
        <mc:Fallback>
          <w:pict>
            <v:group w14:anchorId="01AA79E0" id="Group 164" o:spid="_x0000_s1026" alt="Footer: Last updated December 2021" style="width:486pt;height:21.6pt;mso-position-horizontal-relative:char;mso-position-vertical-relative:lin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CCDDE97" w14:textId="55D67EB6" w:rsidR="00E11F0F" w:rsidRPr="00E11F0F" w:rsidRDefault="00492AB7">
                      <w:pPr>
                        <w:pStyle w:val="Footer"/>
                        <w:jc w:val="right"/>
                        <w:rPr>
                          <w:i/>
                          <w:iCs/>
                          <w:color w:val="595959" w:themeColor="text1" w:themeTint="A6"/>
                        </w:rPr>
                      </w:pPr>
                      <w:sdt>
                        <w:sdtPr>
                          <w:rPr>
                            <w:i/>
                            <w:iCs/>
                            <w:caps/>
                            <w:color w:val="595959" w:themeColor="text1" w:themeTint="A6"/>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E11F0F" w:rsidRPr="00E11F0F">
                            <w:rPr>
                              <w:i/>
                              <w:iCs/>
                              <w:caps/>
                              <w:color w:val="595959" w:themeColor="text1" w:themeTint="A6"/>
                              <w:sz w:val="20"/>
                              <w:szCs w:val="20"/>
                            </w:rPr>
                            <w:t xml:space="preserve">     </w:t>
                          </w:r>
                        </w:sdtContent>
                      </w:sdt>
                      <w:r w:rsidR="00E11F0F" w:rsidRPr="00E11F0F">
                        <w:rPr>
                          <w:i/>
                          <w:iCs/>
                          <w:caps/>
                          <w:color w:val="595959" w:themeColor="text1" w:themeTint="A6"/>
                          <w:sz w:val="20"/>
                          <w:szCs w:val="20"/>
                        </w:rPr>
                        <w:t>  </w:t>
                      </w:r>
                      <w:sdt>
                        <w:sdtPr>
                          <w:rPr>
                            <w:i/>
                            <w:iCs/>
                            <w:color w:val="595959" w:themeColor="text1" w:themeTint="A6"/>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FD39E9">
                            <w:rPr>
                              <w:i/>
                              <w:iCs/>
                              <w:color w:val="595959" w:themeColor="text1" w:themeTint="A6"/>
                              <w:sz w:val="20"/>
                              <w:szCs w:val="20"/>
                            </w:rPr>
                            <w:t>Health, Safety and Wellbeing Policy-Final</w:t>
                          </w:r>
                        </w:sdtContent>
                      </w:sdt>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88ED" w14:textId="77777777" w:rsidR="00124825" w:rsidRDefault="00124825" w:rsidP="00E11F0F">
      <w:r>
        <w:separator/>
      </w:r>
    </w:p>
  </w:footnote>
  <w:footnote w:type="continuationSeparator" w:id="0">
    <w:p w14:paraId="2706A88C" w14:textId="77777777" w:rsidR="00124825" w:rsidRDefault="00124825" w:rsidP="00E1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2A51" w14:textId="4DEFE173" w:rsidR="00A9737D" w:rsidRDefault="00A9737D">
    <w:pPr>
      <w:pStyle w:val="Header"/>
    </w:pPr>
    <w:r w:rsidRPr="00E11F0F">
      <w:rPr>
        <w:noProof/>
        <w:sz w:val="24"/>
        <w:szCs w:val="24"/>
      </w:rPr>
      <w:drawing>
        <wp:anchor distT="0" distB="0" distL="114300" distR="114300" simplePos="0" relativeHeight="251661312" behindDoc="1" locked="0" layoutInCell="1" allowOverlap="1" wp14:anchorId="3AD66F7F" wp14:editId="1821872B">
          <wp:simplePos x="0" y="0"/>
          <wp:positionH relativeFrom="page">
            <wp:align>center</wp:align>
          </wp:positionH>
          <wp:positionV relativeFrom="page">
            <wp:align>top</wp:align>
          </wp:positionV>
          <wp:extent cx="7383600" cy="10447200"/>
          <wp:effectExtent l="0" t="0" r="8255" b="0"/>
          <wp:wrapNone/>
          <wp:docPr id="1" name="Picture 1" descr="Victorian State Government Education and Training Bann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Education and Training Banner">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83600" cy="10447200"/>
                  </a:xfrm>
                  <a:prstGeom prst="rect">
                    <a:avLst/>
                  </a:prstGeom>
                </pic:spPr>
              </pic:pic>
            </a:graphicData>
          </a:graphic>
          <wp14:sizeRelH relativeFrom="page">
            <wp14:pctWidth>0</wp14:pctWidth>
          </wp14:sizeRelH>
          <wp14:sizeRelV relativeFrom="page">
            <wp14:pctHeight>0</wp14:pctHeight>
          </wp14:sizeRelV>
        </wp:anchor>
      </w:drawing>
    </w:r>
  </w:p>
  <w:p w14:paraId="0CD7CD5C" w14:textId="77777777" w:rsidR="00A9737D" w:rsidRDefault="00A9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1F3"/>
    <w:multiLevelType w:val="hybridMultilevel"/>
    <w:tmpl w:val="807ED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061F9"/>
    <w:multiLevelType w:val="hybridMultilevel"/>
    <w:tmpl w:val="C14AE966"/>
    <w:lvl w:ilvl="0" w:tplc="77FEDEE8">
      <w:numFmt w:val="bullet"/>
      <w:lvlText w:val="•"/>
      <w:lvlJc w:val="left"/>
      <w:pPr>
        <w:ind w:left="619" w:hanging="359"/>
      </w:pPr>
      <w:rPr>
        <w:rFonts w:ascii="Arial" w:eastAsia="Arial" w:hAnsi="Arial" w:cs="Arial" w:hint="default"/>
        <w:color w:val="0C0C0C"/>
        <w:w w:val="104"/>
        <w:sz w:val="19"/>
        <w:szCs w:val="19"/>
      </w:rPr>
    </w:lvl>
    <w:lvl w:ilvl="1" w:tplc="FE966048">
      <w:numFmt w:val="bullet"/>
      <w:lvlText w:val="•"/>
      <w:lvlJc w:val="left"/>
      <w:pPr>
        <w:ind w:left="992" w:hanging="359"/>
      </w:pPr>
      <w:rPr>
        <w:rFonts w:hint="default"/>
      </w:rPr>
    </w:lvl>
    <w:lvl w:ilvl="2" w:tplc="44B43706">
      <w:numFmt w:val="bullet"/>
      <w:lvlText w:val="•"/>
      <w:lvlJc w:val="left"/>
      <w:pPr>
        <w:ind w:left="1365" w:hanging="359"/>
      </w:pPr>
      <w:rPr>
        <w:rFonts w:hint="default"/>
      </w:rPr>
    </w:lvl>
    <w:lvl w:ilvl="3" w:tplc="6C96112E">
      <w:numFmt w:val="bullet"/>
      <w:lvlText w:val="•"/>
      <w:lvlJc w:val="left"/>
      <w:pPr>
        <w:ind w:left="1738" w:hanging="359"/>
      </w:pPr>
      <w:rPr>
        <w:rFonts w:hint="default"/>
      </w:rPr>
    </w:lvl>
    <w:lvl w:ilvl="4" w:tplc="8C9E1430">
      <w:numFmt w:val="bullet"/>
      <w:lvlText w:val="•"/>
      <w:lvlJc w:val="left"/>
      <w:pPr>
        <w:ind w:left="2110" w:hanging="359"/>
      </w:pPr>
      <w:rPr>
        <w:rFonts w:hint="default"/>
      </w:rPr>
    </w:lvl>
    <w:lvl w:ilvl="5" w:tplc="EE0CC186">
      <w:numFmt w:val="bullet"/>
      <w:lvlText w:val="•"/>
      <w:lvlJc w:val="left"/>
      <w:pPr>
        <w:ind w:left="2483" w:hanging="359"/>
      </w:pPr>
      <w:rPr>
        <w:rFonts w:hint="default"/>
      </w:rPr>
    </w:lvl>
    <w:lvl w:ilvl="6" w:tplc="CD20D6C4">
      <w:numFmt w:val="bullet"/>
      <w:lvlText w:val="•"/>
      <w:lvlJc w:val="left"/>
      <w:pPr>
        <w:ind w:left="2856" w:hanging="359"/>
      </w:pPr>
      <w:rPr>
        <w:rFonts w:hint="default"/>
      </w:rPr>
    </w:lvl>
    <w:lvl w:ilvl="7" w:tplc="C1160428">
      <w:numFmt w:val="bullet"/>
      <w:lvlText w:val="•"/>
      <w:lvlJc w:val="left"/>
      <w:pPr>
        <w:ind w:left="3228" w:hanging="359"/>
      </w:pPr>
      <w:rPr>
        <w:rFonts w:hint="default"/>
      </w:rPr>
    </w:lvl>
    <w:lvl w:ilvl="8" w:tplc="EDF0AC30">
      <w:numFmt w:val="bullet"/>
      <w:lvlText w:val="•"/>
      <w:lvlJc w:val="left"/>
      <w:pPr>
        <w:ind w:left="3601" w:hanging="359"/>
      </w:pPr>
      <w:rPr>
        <w:rFonts w:hint="default"/>
      </w:rPr>
    </w:lvl>
  </w:abstractNum>
  <w:abstractNum w:abstractNumId="2" w15:restartNumberingAfterBreak="0">
    <w:nsid w:val="1EF2562D"/>
    <w:multiLevelType w:val="hybridMultilevel"/>
    <w:tmpl w:val="ED661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72150C8"/>
    <w:multiLevelType w:val="hybridMultilevel"/>
    <w:tmpl w:val="9FE833BC"/>
    <w:lvl w:ilvl="0" w:tplc="3DE60EF6">
      <w:numFmt w:val="bullet"/>
      <w:lvlText w:val="•"/>
      <w:lvlJc w:val="left"/>
      <w:pPr>
        <w:ind w:left="578" w:hanging="359"/>
      </w:pPr>
      <w:rPr>
        <w:rFonts w:hint="default"/>
        <w:w w:val="104"/>
      </w:rPr>
    </w:lvl>
    <w:lvl w:ilvl="1" w:tplc="3B2ECA56">
      <w:numFmt w:val="bullet"/>
      <w:lvlText w:val="•"/>
      <w:lvlJc w:val="left"/>
      <w:pPr>
        <w:ind w:left="668" w:hanging="360"/>
      </w:pPr>
      <w:rPr>
        <w:rFonts w:ascii="Arial" w:eastAsia="Arial" w:hAnsi="Arial" w:cs="Arial" w:hint="default"/>
        <w:color w:val="0C0C0C"/>
        <w:w w:val="118"/>
        <w:sz w:val="19"/>
        <w:szCs w:val="19"/>
      </w:rPr>
    </w:lvl>
    <w:lvl w:ilvl="2" w:tplc="E15E51EE">
      <w:numFmt w:val="bullet"/>
      <w:lvlText w:val="•"/>
      <w:lvlJc w:val="left"/>
      <w:pPr>
        <w:ind w:left="582" w:hanging="360"/>
      </w:pPr>
      <w:rPr>
        <w:rFonts w:hint="default"/>
      </w:rPr>
    </w:lvl>
    <w:lvl w:ilvl="3" w:tplc="96D29834">
      <w:numFmt w:val="bullet"/>
      <w:lvlText w:val="•"/>
      <w:lvlJc w:val="left"/>
      <w:pPr>
        <w:ind w:left="504" w:hanging="360"/>
      </w:pPr>
      <w:rPr>
        <w:rFonts w:hint="default"/>
      </w:rPr>
    </w:lvl>
    <w:lvl w:ilvl="4" w:tplc="87F67C84">
      <w:numFmt w:val="bullet"/>
      <w:lvlText w:val="•"/>
      <w:lvlJc w:val="left"/>
      <w:pPr>
        <w:ind w:left="426" w:hanging="360"/>
      </w:pPr>
      <w:rPr>
        <w:rFonts w:hint="default"/>
      </w:rPr>
    </w:lvl>
    <w:lvl w:ilvl="5" w:tplc="746CB48E">
      <w:numFmt w:val="bullet"/>
      <w:lvlText w:val="•"/>
      <w:lvlJc w:val="left"/>
      <w:pPr>
        <w:ind w:left="348" w:hanging="360"/>
      </w:pPr>
      <w:rPr>
        <w:rFonts w:hint="default"/>
      </w:rPr>
    </w:lvl>
    <w:lvl w:ilvl="6" w:tplc="3ED86262">
      <w:numFmt w:val="bullet"/>
      <w:lvlText w:val="•"/>
      <w:lvlJc w:val="left"/>
      <w:pPr>
        <w:ind w:left="271" w:hanging="360"/>
      </w:pPr>
      <w:rPr>
        <w:rFonts w:hint="default"/>
      </w:rPr>
    </w:lvl>
    <w:lvl w:ilvl="7" w:tplc="CAD25932">
      <w:numFmt w:val="bullet"/>
      <w:lvlText w:val="•"/>
      <w:lvlJc w:val="left"/>
      <w:pPr>
        <w:ind w:left="193" w:hanging="360"/>
      </w:pPr>
      <w:rPr>
        <w:rFonts w:hint="default"/>
      </w:rPr>
    </w:lvl>
    <w:lvl w:ilvl="8" w:tplc="584A646C">
      <w:numFmt w:val="bullet"/>
      <w:lvlText w:val="•"/>
      <w:lvlJc w:val="left"/>
      <w:pPr>
        <w:ind w:left="115" w:hanging="360"/>
      </w:pPr>
      <w:rPr>
        <w:rFonts w:hint="default"/>
      </w:rPr>
    </w:lvl>
  </w:abstractNum>
  <w:abstractNum w:abstractNumId="4" w15:restartNumberingAfterBreak="0">
    <w:nsid w:val="44C038B3"/>
    <w:multiLevelType w:val="hybridMultilevel"/>
    <w:tmpl w:val="F8F68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636170"/>
    <w:multiLevelType w:val="hybridMultilevel"/>
    <w:tmpl w:val="828A4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961FA7"/>
    <w:multiLevelType w:val="hybridMultilevel"/>
    <w:tmpl w:val="E2ECFFBC"/>
    <w:lvl w:ilvl="0" w:tplc="615C711C">
      <w:numFmt w:val="bullet"/>
      <w:lvlText w:val="·"/>
      <w:lvlJc w:val="left"/>
      <w:pPr>
        <w:ind w:left="616" w:hanging="133"/>
      </w:pPr>
      <w:rPr>
        <w:rFonts w:ascii="Arial" w:eastAsia="Arial" w:hAnsi="Arial" w:cs="Arial" w:hint="default"/>
        <w:color w:val="AFC8DA"/>
        <w:w w:val="99"/>
        <w:sz w:val="19"/>
        <w:szCs w:val="19"/>
      </w:rPr>
    </w:lvl>
    <w:lvl w:ilvl="1" w:tplc="C12AE9A0">
      <w:numFmt w:val="bullet"/>
      <w:lvlText w:val="•"/>
      <w:lvlJc w:val="left"/>
      <w:pPr>
        <w:ind w:left="610" w:hanging="364"/>
      </w:pPr>
      <w:rPr>
        <w:rFonts w:ascii="Arial" w:eastAsia="Arial" w:hAnsi="Arial" w:cs="Arial" w:hint="default"/>
        <w:color w:val="262828"/>
        <w:w w:val="103"/>
        <w:sz w:val="19"/>
        <w:szCs w:val="19"/>
      </w:rPr>
    </w:lvl>
    <w:lvl w:ilvl="2" w:tplc="201E6384">
      <w:numFmt w:val="bullet"/>
      <w:lvlText w:val="•"/>
      <w:lvlJc w:val="left"/>
      <w:pPr>
        <w:ind w:left="1365" w:hanging="364"/>
      </w:pPr>
      <w:rPr>
        <w:rFonts w:hint="default"/>
      </w:rPr>
    </w:lvl>
    <w:lvl w:ilvl="3" w:tplc="435C9F8E">
      <w:numFmt w:val="bullet"/>
      <w:lvlText w:val="•"/>
      <w:lvlJc w:val="left"/>
      <w:pPr>
        <w:ind w:left="1738" w:hanging="364"/>
      </w:pPr>
      <w:rPr>
        <w:rFonts w:hint="default"/>
      </w:rPr>
    </w:lvl>
    <w:lvl w:ilvl="4" w:tplc="8918EA7C">
      <w:numFmt w:val="bullet"/>
      <w:lvlText w:val="•"/>
      <w:lvlJc w:val="left"/>
      <w:pPr>
        <w:ind w:left="2110" w:hanging="364"/>
      </w:pPr>
      <w:rPr>
        <w:rFonts w:hint="default"/>
      </w:rPr>
    </w:lvl>
    <w:lvl w:ilvl="5" w:tplc="4144532E">
      <w:numFmt w:val="bullet"/>
      <w:lvlText w:val="•"/>
      <w:lvlJc w:val="left"/>
      <w:pPr>
        <w:ind w:left="2483" w:hanging="364"/>
      </w:pPr>
      <w:rPr>
        <w:rFonts w:hint="default"/>
      </w:rPr>
    </w:lvl>
    <w:lvl w:ilvl="6" w:tplc="66FAEDE2">
      <w:numFmt w:val="bullet"/>
      <w:lvlText w:val="•"/>
      <w:lvlJc w:val="left"/>
      <w:pPr>
        <w:ind w:left="2856" w:hanging="364"/>
      </w:pPr>
      <w:rPr>
        <w:rFonts w:hint="default"/>
      </w:rPr>
    </w:lvl>
    <w:lvl w:ilvl="7" w:tplc="A2B45A34">
      <w:numFmt w:val="bullet"/>
      <w:lvlText w:val="•"/>
      <w:lvlJc w:val="left"/>
      <w:pPr>
        <w:ind w:left="3228" w:hanging="364"/>
      </w:pPr>
      <w:rPr>
        <w:rFonts w:hint="default"/>
      </w:rPr>
    </w:lvl>
    <w:lvl w:ilvl="8" w:tplc="0F407C2C">
      <w:numFmt w:val="bullet"/>
      <w:lvlText w:val="•"/>
      <w:lvlJc w:val="left"/>
      <w:pPr>
        <w:ind w:left="3601" w:hanging="364"/>
      </w:pPr>
      <w:rPr>
        <w:rFonts w:hint="default"/>
      </w:rPr>
    </w:lvl>
  </w:abstractNum>
  <w:abstractNum w:abstractNumId="7" w15:restartNumberingAfterBreak="0">
    <w:nsid w:val="68E973BD"/>
    <w:multiLevelType w:val="hybridMultilevel"/>
    <w:tmpl w:val="F1526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8036D31"/>
    <w:multiLevelType w:val="hybridMultilevel"/>
    <w:tmpl w:val="86DC0AC0"/>
    <w:lvl w:ilvl="0" w:tplc="CBECBE1C">
      <w:numFmt w:val="bullet"/>
      <w:lvlText w:val="•"/>
      <w:lvlJc w:val="left"/>
      <w:pPr>
        <w:ind w:left="1119" w:hanging="364"/>
      </w:pPr>
      <w:rPr>
        <w:rFonts w:hint="default"/>
        <w:w w:val="105"/>
      </w:rPr>
    </w:lvl>
    <w:lvl w:ilvl="1" w:tplc="EB54BDFA">
      <w:numFmt w:val="bullet"/>
      <w:lvlText w:val="•"/>
      <w:lvlJc w:val="left"/>
      <w:pPr>
        <w:ind w:left="1385" w:hanging="364"/>
      </w:pPr>
      <w:rPr>
        <w:rFonts w:hint="default"/>
      </w:rPr>
    </w:lvl>
    <w:lvl w:ilvl="2" w:tplc="D7708572">
      <w:numFmt w:val="bullet"/>
      <w:lvlText w:val="•"/>
      <w:lvlJc w:val="left"/>
      <w:pPr>
        <w:ind w:left="1651" w:hanging="364"/>
      </w:pPr>
      <w:rPr>
        <w:rFonts w:hint="default"/>
      </w:rPr>
    </w:lvl>
    <w:lvl w:ilvl="3" w:tplc="CDAA6F3A">
      <w:numFmt w:val="bullet"/>
      <w:lvlText w:val="•"/>
      <w:lvlJc w:val="left"/>
      <w:pPr>
        <w:ind w:left="1917" w:hanging="364"/>
      </w:pPr>
      <w:rPr>
        <w:rFonts w:hint="default"/>
      </w:rPr>
    </w:lvl>
    <w:lvl w:ilvl="4" w:tplc="9D625F2E">
      <w:numFmt w:val="bullet"/>
      <w:lvlText w:val="•"/>
      <w:lvlJc w:val="left"/>
      <w:pPr>
        <w:ind w:left="2183" w:hanging="364"/>
      </w:pPr>
      <w:rPr>
        <w:rFonts w:hint="default"/>
      </w:rPr>
    </w:lvl>
    <w:lvl w:ilvl="5" w:tplc="E43C8E12">
      <w:numFmt w:val="bullet"/>
      <w:lvlText w:val="•"/>
      <w:lvlJc w:val="left"/>
      <w:pPr>
        <w:ind w:left="2448" w:hanging="364"/>
      </w:pPr>
      <w:rPr>
        <w:rFonts w:hint="default"/>
      </w:rPr>
    </w:lvl>
    <w:lvl w:ilvl="6" w:tplc="EF9E25FE">
      <w:numFmt w:val="bullet"/>
      <w:lvlText w:val="•"/>
      <w:lvlJc w:val="left"/>
      <w:pPr>
        <w:ind w:left="2714" w:hanging="364"/>
      </w:pPr>
      <w:rPr>
        <w:rFonts w:hint="default"/>
      </w:rPr>
    </w:lvl>
    <w:lvl w:ilvl="7" w:tplc="030E818E">
      <w:numFmt w:val="bullet"/>
      <w:lvlText w:val="•"/>
      <w:lvlJc w:val="left"/>
      <w:pPr>
        <w:ind w:left="2980" w:hanging="364"/>
      </w:pPr>
      <w:rPr>
        <w:rFonts w:hint="default"/>
      </w:rPr>
    </w:lvl>
    <w:lvl w:ilvl="8" w:tplc="BCEC224E">
      <w:numFmt w:val="bullet"/>
      <w:lvlText w:val="•"/>
      <w:lvlJc w:val="left"/>
      <w:pPr>
        <w:ind w:left="3246" w:hanging="364"/>
      </w:pPr>
      <w:rPr>
        <w:rFonts w:hint="default"/>
      </w:rPr>
    </w:lvl>
  </w:abstractNum>
  <w:num w:numId="1">
    <w:abstractNumId w:val="6"/>
  </w:num>
  <w:num w:numId="2">
    <w:abstractNumId w:val="1"/>
  </w:num>
  <w:num w:numId="3">
    <w:abstractNumId w:val="3"/>
  </w:num>
  <w:num w:numId="4">
    <w:abstractNumId w:val="8"/>
  </w:num>
  <w:num w:numId="5">
    <w:abstractNumId w:val="2"/>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10"/>
    <w:rsid w:val="00104446"/>
    <w:rsid w:val="00124825"/>
    <w:rsid w:val="001B79B6"/>
    <w:rsid w:val="001E7612"/>
    <w:rsid w:val="002E72C1"/>
    <w:rsid w:val="00320BA5"/>
    <w:rsid w:val="0034041E"/>
    <w:rsid w:val="004142EF"/>
    <w:rsid w:val="00492AB7"/>
    <w:rsid w:val="005B06D4"/>
    <w:rsid w:val="0076533C"/>
    <w:rsid w:val="00797412"/>
    <w:rsid w:val="00856A28"/>
    <w:rsid w:val="008E1DA3"/>
    <w:rsid w:val="00A9737D"/>
    <w:rsid w:val="00B41310"/>
    <w:rsid w:val="00D13927"/>
    <w:rsid w:val="00DD710E"/>
    <w:rsid w:val="00E11F0F"/>
    <w:rsid w:val="00E34DE5"/>
    <w:rsid w:val="00F83A34"/>
    <w:rsid w:val="00FD3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322D"/>
  <w15:docId w15:val="{B02F0CA5-5C5C-4CB3-BB55-CF5B80A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spacing w:before="94"/>
      <w:ind w:left="14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before="19"/>
      <w:ind w:left="510" w:hanging="354"/>
    </w:pPr>
  </w:style>
  <w:style w:type="paragraph" w:customStyle="1" w:styleId="TableParagraph">
    <w:name w:val="Table Paragraph"/>
    <w:basedOn w:val="Normal"/>
    <w:uiPriority w:val="1"/>
    <w:qFormat/>
  </w:style>
  <w:style w:type="table" w:styleId="TableGrid">
    <w:name w:val="Table Grid"/>
    <w:basedOn w:val="TableNormal"/>
    <w:uiPriority w:val="39"/>
    <w:rsid w:val="0076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46"/>
    <w:rPr>
      <w:rFonts w:ascii="Segoe UI" w:eastAsia="Arial" w:hAnsi="Segoe UI" w:cs="Segoe UI"/>
      <w:sz w:val="18"/>
      <w:szCs w:val="18"/>
    </w:rPr>
  </w:style>
  <w:style w:type="character" w:styleId="CommentReference">
    <w:name w:val="annotation reference"/>
    <w:basedOn w:val="DefaultParagraphFont"/>
    <w:uiPriority w:val="99"/>
    <w:semiHidden/>
    <w:unhideWhenUsed/>
    <w:rsid w:val="00F83A34"/>
    <w:rPr>
      <w:sz w:val="16"/>
      <w:szCs w:val="16"/>
    </w:rPr>
  </w:style>
  <w:style w:type="paragraph" w:styleId="CommentText">
    <w:name w:val="annotation text"/>
    <w:basedOn w:val="Normal"/>
    <w:link w:val="CommentTextChar"/>
    <w:uiPriority w:val="99"/>
    <w:semiHidden/>
    <w:unhideWhenUsed/>
    <w:rsid w:val="00F83A34"/>
    <w:rPr>
      <w:sz w:val="20"/>
      <w:szCs w:val="20"/>
    </w:rPr>
  </w:style>
  <w:style w:type="character" w:customStyle="1" w:styleId="CommentTextChar">
    <w:name w:val="Comment Text Char"/>
    <w:basedOn w:val="DefaultParagraphFont"/>
    <w:link w:val="CommentText"/>
    <w:uiPriority w:val="99"/>
    <w:semiHidden/>
    <w:rsid w:val="00F83A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83A34"/>
    <w:rPr>
      <w:b/>
      <w:bCs/>
    </w:rPr>
  </w:style>
  <w:style w:type="character" w:customStyle="1" w:styleId="CommentSubjectChar">
    <w:name w:val="Comment Subject Char"/>
    <w:basedOn w:val="CommentTextChar"/>
    <w:link w:val="CommentSubject"/>
    <w:uiPriority w:val="99"/>
    <w:semiHidden/>
    <w:rsid w:val="00F83A34"/>
    <w:rPr>
      <w:rFonts w:ascii="Arial" w:eastAsia="Arial" w:hAnsi="Arial" w:cs="Arial"/>
      <w:b/>
      <w:bCs/>
      <w:sz w:val="20"/>
      <w:szCs w:val="20"/>
    </w:rPr>
  </w:style>
  <w:style w:type="paragraph" w:styleId="Header">
    <w:name w:val="header"/>
    <w:basedOn w:val="Normal"/>
    <w:link w:val="HeaderChar"/>
    <w:uiPriority w:val="99"/>
    <w:unhideWhenUsed/>
    <w:rsid w:val="00E11F0F"/>
    <w:pPr>
      <w:tabs>
        <w:tab w:val="center" w:pos="4513"/>
        <w:tab w:val="right" w:pos="9026"/>
      </w:tabs>
    </w:pPr>
  </w:style>
  <w:style w:type="character" w:customStyle="1" w:styleId="HeaderChar">
    <w:name w:val="Header Char"/>
    <w:basedOn w:val="DefaultParagraphFont"/>
    <w:link w:val="Header"/>
    <w:uiPriority w:val="99"/>
    <w:rsid w:val="00E11F0F"/>
    <w:rPr>
      <w:rFonts w:ascii="Arial" w:eastAsia="Arial" w:hAnsi="Arial" w:cs="Arial"/>
    </w:rPr>
  </w:style>
  <w:style w:type="paragraph" w:styleId="Footer">
    <w:name w:val="footer"/>
    <w:basedOn w:val="Normal"/>
    <w:link w:val="FooterChar"/>
    <w:uiPriority w:val="99"/>
    <w:unhideWhenUsed/>
    <w:rsid w:val="00E11F0F"/>
    <w:pPr>
      <w:tabs>
        <w:tab w:val="center" w:pos="4513"/>
        <w:tab w:val="right" w:pos="9026"/>
      </w:tabs>
    </w:pPr>
  </w:style>
  <w:style w:type="character" w:customStyle="1" w:styleId="FooterChar">
    <w:name w:val="Footer Char"/>
    <w:basedOn w:val="DefaultParagraphFont"/>
    <w:link w:val="Footer"/>
    <w:uiPriority w:val="99"/>
    <w:rsid w:val="00E11F0F"/>
    <w:rPr>
      <w:rFonts w:ascii="Arial" w:eastAsia="Arial" w:hAnsi="Arial" w:cs="Arial"/>
    </w:rPr>
  </w:style>
  <w:style w:type="character" w:customStyle="1" w:styleId="BodyTextChar">
    <w:name w:val="Body Text Char"/>
    <w:basedOn w:val="DefaultParagraphFont"/>
    <w:link w:val="BodyText"/>
    <w:uiPriority w:val="1"/>
    <w:rsid w:val="00E11F0F"/>
    <w:rPr>
      <w:rFonts w:ascii="Arial" w:eastAsia="Arial" w:hAnsi="Arial" w:cs="Arial"/>
      <w:sz w:val="19"/>
      <w:szCs w:val="19"/>
    </w:rPr>
  </w:style>
  <w:style w:type="character" w:customStyle="1" w:styleId="Heading1Char">
    <w:name w:val="Heading 1 Char"/>
    <w:basedOn w:val="DefaultParagraphFont"/>
    <w:link w:val="Heading1"/>
    <w:uiPriority w:val="9"/>
    <w:rsid w:val="00DD710E"/>
    <w:rPr>
      <w:rFonts w:ascii="Arial" w:eastAsia="Arial" w:hAnsi="Arial" w:cs="Arial"/>
      <w:b/>
      <w:bCs/>
      <w:sz w:val="19"/>
      <w:szCs w:val="19"/>
    </w:rPr>
  </w:style>
  <w:style w:type="paragraph" w:customStyle="1" w:styleId="TableHead">
    <w:name w:val="Table Head"/>
    <w:basedOn w:val="Normal"/>
    <w:qFormat/>
    <w:rsid w:val="00DD710E"/>
    <w:pPr>
      <w:widowControl/>
      <w:autoSpaceDE/>
      <w:autoSpaceDN/>
      <w:spacing w:after="120"/>
    </w:pPr>
    <w:rPr>
      <w:rFonts w:asciiTheme="minorHAnsi" w:eastAsiaTheme="minorHAnsi" w:hAnsiTheme="minorHAnsi" w:cstheme="minorBidi"/>
      <w:b/>
      <w:color w:val="FFFFFF" w:themeColor="background1"/>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101</Value>
      <Value>120</Value>
    </TaxCatchAll>
    <DEECD_Expired xmlns="http://schemas.microsoft.com/sharepoint/v3">false</DEECD_Expired>
    <DEECD_Keywords xmlns="http://schemas.microsoft.com/sharepoint/v3">&lt;div class="ExternalClass505A8436E5FB492288126F06713CF9EC"&gt;&lt;p&gt;​Health, OHS, wellbeing, policy, health and safety&lt;/p&gt;&lt;/div&gt;</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updated policy</DEECD_Description>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480C2-1746-4470-9BB2-CB32BA516E62}"/>
</file>

<file path=customXml/itemProps2.xml><?xml version="1.0" encoding="utf-8"?>
<ds:datastoreItem xmlns:ds="http://schemas.openxmlformats.org/officeDocument/2006/customXml" ds:itemID="{B4E543CC-DDC2-4A29-9752-ACBA8A252803}">
  <ds:schemaRefs>
    <ds:schemaRef ds:uri="http://schemas.openxmlformats.org/officeDocument/2006/bibliography"/>
  </ds:schemaRefs>
</ds:datastoreItem>
</file>

<file path=customXml/itemProps3.xml><?xml version="1.0" encoding="utf-8"?>
<ds:datastoreItem xmlns:ds="http://schemas.openxmlformats.org/officeDocument/2006/customXml" ds:itemID="{C6B41E88-9854-42DB-8FD0-2E62A110400F}">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136f4a27-e171-4881-afb0-7b02314a9a4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7C9BD29-CA7B-42C0-876A-298A7D09F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Safety and Wellbeing Policy-Final</dc:subject>
  <dc:creator>Algefski, Grace G</dc:creator>
  <cp:lastModifiedBy>Carly Monaghan</cp:lastModifiedBy>
  <cp:revision>2</cp:revision>
  <cp:lastPrinted>2018-03-23T05:17:00Z</cp:lastPrinted>
  <dcterms:created xsi:type="dcterms:W3CDTF">2022-02-06T23:09:00Z</dcterms:created>
  <dcterms:modified xsi:type="dcterms:W3CDTF">2022-02-06T23:09:00Z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DocsCorp Pty Ltd (www.docscorp.com)</vt:lpwstr>
  </property>
  <property fmtid="{D5CDD505-2E9C-101B-9397-08002B2CF9AE}" pid="4" name="LastSaved">
    <vt:filetime>2018-03-23T00:00:00Z</vt:filetime>
  </property>
  <property fmtid="{D5CDD505-2E9C-101B-9397-08002B2CF9AE}" pid="5" name="ContentTypeId">
    <vt:lpwstr>0x0101008840106FE30D4F50BC61A726A7CA6E3800B55670BA5C76BC428088DD3B316F98C8</vt:lpwstr>
  </property>
  <property fmtid="{D5CDD505-2E9C-101B-9397-08002B2CF9AE}" pid="6" name="DEECD_Author">
    <vt:lpwstr>120;#HRWeb|4e014723-a4da-42a2-b679-c90ea77e3371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